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7228FD">
        <w:rPr>
          <w:noProof/>
        </w:rPr>
        <w:t>3</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7228FD">
        <w:rPr>
          <w:noProof/>
        </w:rPr>
        <w:t>6</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7228FD">
        <w:rPr>
          <w:noProof/>
        </w:rPr>
        <w:t>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7228FD">
        <w:rPr>
          <w:noProof/>
        </w:rPr>
        <w:t>10</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7228FD">
        <w:rPr>
          <w:noProof/>
        </w:rPr>
        <w:t>14</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7228FD">
        <w:rPr>
          <w:noProof/>
        </w:rPr>
        <w:t>20</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7228FD">
        <w:rPr>
          <w:noProof/>
        </w:rPr>
        <w:t>23</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7228FD">
        <w:rPr>
          <w:noProof/>
        </w:rPr>
        <w:t>27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7228FD">
        <w:rPr>
          <w:noProof/>
        </w:rPr>
        <w:t>33</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7228FD">
        <w:rPr>
          <w:noProof/>
        </w:rPr>
        <w:t>39</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7228FD">
        <w:rPr>
          <w:noProof/>
        </w:rPr>
        <w:t>45</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7228FD">
        <w:rPr>
          <w:noProof/>
        </w:rPr>
        <w:t>49</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7228FD">
        <w:rPr>
          <w:noProof/>
        </w:rPr>
        <w:t>56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7228FD">
        <w:rPr>
          <w:noProof/>
        </w:rPr>
        <w:t>61</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7228FD">
        <w:rPr>
          <w:noProof/>
        </w:rPr>
        <w:t>66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7228FD">
        <w:rPr>
          <w:noProof/>
        </w:rPr>
        <w:t>71</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7228FD">
        <w:rPr>
          <w:noProof/>
        </w:rPr>
        <w:t>76</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7228FD">
        <w:rPr>
          <w:noProof/>
        </w:rPr>
        <w:t>78</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7228FD">
        <w:rPr>
          <w:noProof/>
        </w:rPr>
        <w:t>99</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7228FD">
        <w:rPr>
          <w:noProof/>
        </w:rPr>
        <w:t>99</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7228FD">
        <w:rPr>
          <w:noProof/>
        </w:rPr>
        <w:t>132</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7228FD">
        <w:rPr>
          <w:noProof/>
        </w:rPr>
        <w:t>132</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7228FD">
        <w:rPr>
          <w:noProof/>
        </w:rPr>
        <w:t>135</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7228FD">
        <w:rPr>
          <w:noProof/>
        </w:rPr>
        <w:t>135</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7228FD">
        <w:rPr>
          <w:noProof/>
        </w:rPr>
        <w:t>142</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7228FD">
        <w:rPr>
          <w:noProof/>
        </w:rPr>
        <w:t>148</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7228FD">
        <w:rPr>
          <w:noProof/>
        </w:rPr>
        <w:t>158</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7228FD">
        <w:rPr>
          <w:noProof/>
        </w:rPr>
        <w:t>160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7228FD">
        <w:rPr>
          <w:noProof/>
        </w:rPr>
        <w:t>166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7228FD">
        <w:rPr>
          <w:noProof/>
        </w:rPr>
        <w:t>169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7228FD">
        <w:rPr>
          <w:noProof/>
        </w:rPr>
        <w:t>173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7228FD">
        <w:rPr>
          <w:noProof/>
        </w:rPr>
        <w:t>195</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7228FD">
        <w:rPr>
          <w:noProof/>
        </w:rPr>
        <w:t>198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7228FD">
        <w:rPr>
          <w:noProof/>
        </w:rPr>
        <w:t>204</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7228FD">
        <w:rPr>
          <w:noProof/>
        </w:rPr>
        <w:t>264</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7228FD">
        <w:rPr>
          <w:noProof/>
        </w:rPr>
        <w:t>275</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7228FD">
        <w:rPr>
          <w:b w:val="0"/>
          <w:bCs/>
          <w:noProof/>
        </w:rPr>
        <w:t>Ошибка! Закладка не определена.</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7228FD">
        <w:rPr>
          <w:b w:val="0"/>
          <w:bCs/>
          <w:noProof/>
        </w:rPr>
        <w:t>Ошибка! Закладка не определена.</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7228FD">
        <w:rPr>
          <w:noProof/>
        </w:rPr>
        <w:t>296</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7228FD">
        <w:rPr>
          <w:noProof/>
        </w:rPr>
        <w:t>299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7228FD">
        <w:rPr>
          <w:noProof/>
        </w:rPr>
        <w:t>301</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7228FD">
        <w:rPr>
          <w:noProof/>
        </w:rPr>
        <w:t>305</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7228FD">
        <w:rPr>
          <w:noProof/>
        </w:rPr>
        <w:t>308</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7228FD">
        <w:rPr>
          <w:noProof/>
        </w:rPr>
        <w:t>319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7228FD">
        <w:rPr>
          <w:noProof/>
        </w:rPr>
        <w:t>325</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со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lastRenderedPageBreak/>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lastRenderedPageBreak/>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14:anchorId="0C123A71" wp14:editId="3258BABF">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14:anchorId="3BE53EB6" wp14:editId="64A39BEA">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14:anchorId="3E2C59E4" wp14:editId="4681437D">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60" w:rsidRDefault="00DA5860">
      <w:r>
        <w:separator/>
      </w:r>
    </w:p>
  </w:endnote>
  <w:endnote w:type="continuationSeparator" w:id="0">
    <w:p w:rsidR="00DA5860" w:rsidRDefault="00D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837CC5">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60" w:rsidRDefault="00DA5860">
      <w:r>
        <w:separator/>
      </w:r>
    </w:p>
  </w:footnote>
  <w:footnote w:type="continuationSeparator" w:id="0">
    <w:p w:rsidR="00DA5860" w:rsidRDefault="00DA5860">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28FD"/>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37CC5"/>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A5860"/>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6EF36-5FDD-463C-8EB0-D9BB8D4B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86342</Words>
  <Characters>492155</Characters>
  <Application>Microsoft Office Word</Application>
  <DocSecurity>0</DocSecurity>
  <Lines>4101</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Учитель</cp:lastModifiedBy>
  <cp:revision>2</cp:revision>
  <cp:lastPrinted>2017-04-24T10:56:00Z</cp:lastPrinted>
  <dcterms:created xsi:type="dcterms:W3CDTF">2017-04-28T06:49:00Z</dcterms:created>
  <dcterms:modified xsi:type="dcterms:W3CDTF">2017-04-28T06:49:00Z</dcterms:modified>
</cp:coreProperties>
</file>